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proofErr w:type="spellStart"/>
      <w:r w:rsidRPr="00EE7B07">
        <w:rPr>
          <w:rFonts w:ascii="Helvetica" w:eastAsia="Times New Roman" w:hAnsi="Helvetica" w:cs="Helvetica"/>
          <w:color w:val="5C5C5C"/>
          <w:sz w:val="20"/>
          <w:szCs w:val="20"/>
        </w:rPr>
        <w:t>Αριθμ</w:t>
      </w:r>
      <w:proofErr w:type="spellEnd"/>
      <w:r w:rsidRPr="00EE7B07">
        <w:rPr>
          <w:rFonts w:ascii="Helvetica" w:eastAsia="Times New Roman" w:hAnsi="Helvetica" w:cs="Helvetica"/>
          <w:color w:val="5C5C5C"/>
          <w:sz w:val="20"/>
          <w:szCs w:val="20"/>
        </w:rPr>
        <w:t>. Φ.10060/15858/606 – </w:t>
      </w:r>
      <w:r w:rsidRPr="00EE7B07">
        <w:rPr>
          <w:rFonts w:ascii="inherit" w:eastAsia="Times New Roman" w:hAnsi="inherit" w:cs="Helvetica"/>
          <w:b/>
          <w:bCs/>
          <w:color w:val="292929"/>
          <w:sz w:val="20"/>
          <w:szCs w:val="20"/>
          <w:bdr w:val="none" w:sz="0" w:space="0" w:color="auto" w:frame="1"/>
        </w:rPr>
        <w:t>ΦΕΚ Β 2665 – 08.10.2014</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inherit" w:eastAsia="Times New Roman" w:hAnsi="inherit" w:cs="Helvetica"/>
          <w:b/>
          <w:bCs/>
          <w:color w:val="292929"/>
          <w:sz w:val="20"/>
        </w:rPr>
        <w:t>Καθορισμός διαδικασίας και δικαιολογητικών για τη χορήγηση επιδόματος μητρότητας στις άμεσα ασφαλισμένες του ΕΤΑΑ, κατ’ εφαρμογή του άρθρου 6 του Ν. 4097/2012 (Α 235).</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Helvetica" w:eastAsia="Times New Roman" w:hAnsi="Helvetica" w:cs="Helvetica"/>
          <w:color w:val="5C5C5C"/>
          <w:sz w:val="20"/>
          <w:szCs w:val="20"/>
        </w:rPr>
        <w:t>ΟΙ ΥΠΟΥΡΓΟΙ</w:t>
      </w:r>
      <w:r w:rsidRPr="00EE7B07">
        <w:rPr>
          <w:rFonts w:ascii="Helvetica" w:eastAsia="Times New Roman" w:hAnsi="Helvetica" w:cs="Helvetica"/>
          <w:color w:val="5C5C5C"/>
          <w:sz w:val="20"/>
          <w:szCs w:val="20"/>
        </w:rPr>
        <w:br/>
        <w:t>ΟΙΚΟΝΟΜΙΚΩΝ – ΕΡΓΑΣΙΑΣ, ΚΟΙΝΩΝΙΚΗΣ ΑΣΦΑΛΙΣΗΣ ΚΑΙ ΠΡΟΝΟΙΑΣ</w:t>
      </w:r>
      <w:r w:rsidRPr="00EE7B07">
        <w:rPr>
          <w:rFonts w:ascii="Helvetica" w:eastAsia="Times New Roman" w:hAnsi="Helvetica" w:cs="Helvetica"/>
          <w:color w:val="5C5C5C"/>
          <w:sz w:val="20"/>
          <w:szCs w:val="20"/>
        </w:rPr>
        <w:br/>
      </w:r>
      <w:r w:rsidRPr="00EE7B07">
        <w:rPr>
          <w:rFonts w:ascii="inherit" w:eastAsia="Times New Roman" w:hAnsi="inherit" w:cs="Helvetica"/>
          <w:b/>
          <w:bCs/>
          <w:color w:val="292929"/>
          <w:sz w:val="20"/>
        </w:rPr>
        <w:t>αποφασίζουμε</w:t>
      </w:r>
      <w:r w:rsidRPr="00EE7B07">
        <w:rPr>
          <w:rFonts w:ascii="Helvetica" w:eastAsia="Times New Roman" w:hAnsi="Helvetica" w:cs="Helvetica"/>
          <w:color w:val="5C5C5C"/>
          <w:sz w:val="20"/>
          <w:szCs w:val="20"/>
        </w:rPr>
        <w:t>:</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inherit" w:eastAsia="Times New Roman" w:hAnsi="inherit" w:cs="Helvetica"/>
          <w:b/>
          <w:bCs/>
          <w:color w:val="292929"/>
          <w:sz w:val="20"/>
        </w:rPr>
        <w:t>Άρθρο 1</w:t>
      </w:r>
      <w:r w:rsidRPr="00EE7B07">
        <w:rPr>
          <w:rFonts w:ascii="Helvetica" w:eastAsia="Times New Roman" w:hAnsi="Helvetica" w:cs="Helvetica"/>
          <w:color w:val="5C5C5C"/>
          <w:sz w:val="20"/>
          <w:szCs w:val="20"/>
        </w:rPr>
        <w:br/>
      </w:r>
      <w:r w:rsidRPr="00EE7B07">
        <w:rPr>
          <w:rFonts w:ascii="inherit" w:eastAsia="Times New Roman" w:hAnsi="inherit" w:cs="Helvetica"/>
          <w:b/>
          <w:bCs/>
          <w:color w:val="292929"/>
          <w:sz w:val="20"/>
        </w:rPr>
        <w:t>Αυτοαπασχολούμενες γυναίκες, άμεσα ασφαλισμένες του Ενιαίου Ταμείου Ανεξάρτητα Απασχολουμένων (ΕΤΑΑ), οι οποίες ασκούν αποκλειστικά ελεύθερο επάγγελμα, δικαιούνται λόγω κυοφορίας και λοχείας, μηνιαίο επίδομα μητρότητας, ύψους διακοσίων (200) € για χρονικό διάστημα τεσσάρων (4) μηνών</w:t>
      </w:r>
      <w:r w:rsidRPr="00EE7B07">
        <w:rPr>
          <w:rFonts w:ascii="Helvetica" w:eastAsia="Times New Roman" w:hAnsi="Helvetica" w:cs="Helvetica"/>
          <w:color w:val="5C5C5C"/>
          <w:sz w:val="20"/>
          <w:szCs w:val="20"/>
        </w:rPr>
        <w:t>.</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Helvetica" w:eastAsia="Times New Roman" w:hAnsi="Helvetica" w:cs="Helvetica"/>
          <w:color w:val="5C5C5C"/>
          <w:sz w:val="20"/>
          <w:szCs w:val="20"/>
        </w:rPr>
        <w:t>Απαραίτητη προϋπόθεση για τη χορήγηση του επιδόματος αυτού είναι η ύπαρξη ασφαλιστικής ικανότητας για παροχές ασθένειας σε είδος, σύμφωνα με την ισχύουσα νομοθεσία και η άσκηση ελεύθερου επαγγέλματος αποκλειστικά. Για τη χορήγηση απαιτείται η υποβολή των κάτωθι </w:t>
      </w:r>
      <w:r w:rsidRPr="00EE7B07">
        <w:rPr>
          <w:rFonts w:ascii="inherit" w:eastAsia="Times New Roman" w:hAnsi="inherit" w:cs="Helvetica"/>
          <w:b/>
          <w:bCs/>
          <w:color w:val="292929"/>
          <w:sz w:val="20"/>
        </w:rPr>
        <w:t>δικαιολογητικών</w:t>
      </w:r>
      <w:r w:rsidRPr="00EE7B07">
        <w:rPr>
          <w:rFonts w:ascii="Helvetica" w:eastAsia="Times New Roman" w:hAnsi="Helvetica" w:cs="Helvetica"/>
          <w:color w:val="5C5C5C"/>
          <w:sz w:val="20"/>
          <w:szCs w:val="20"/>
        </w:rPr>
        <w:t>:</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inherit" w:eastAsia="Times New Roman" w:hAnsi="inherit" w:cs="Helvetica"/>
          <w:b/>
          <w:bCs/>
          <w:color w:val="292929"/>
          <w:sz w:val="20"/>
        </w:rPr>
        <w:t>α</w:t>
      </w:r>
      <w:r w:rsidRPr="00EE7B07">
        <w:rPr>
          <w:rFonts w:ascii="Helvetica" w:eastAsia="Times New Roman" w:hAnsi="Helvetica" w:cs="Helvetica"/>
          <w:color w:val="5C5C5C"/>
          <w:sz w:val="20"/>
          <w:szCs w:val="20"/>
        </w:rPr>
        <w:t>) </w:t>
      </w:r>
      <w:r w:rsidRPr="00EE7B07">
        <w:rPr>
          <w:rFonts w:ascii="inherit" w:eastAsia="Times New Roman" w:hAnsi="inherit" w:cs="Helvetica"/>
          <w:b/>
          <w:bCs/>
          <w:color w:val="292929"/>
          <w:sz w:val="20"/>
        </w:rPr>
        <w:t>Αίτηση της ασφαλισμένης στον οικείο Τομέα Ασφάλισης του ΕΤΑΑ</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inherit" w:eastAsia="Times New Roman" w:hAnsi="inherit" w:cs="Helvetica"/>
          <w:b/>
          <w:bCs/>
          <w:color w:val="292929"/>
          <w:sz w:val="20"/>
        </w:rPr>
        <w:t>β</w:t>
      </w:r>
      <w:r w:rsidRPr="00EE7B07">
        <w:rPr>
          <w:rFonts w:ascii="Helvetica" w:eastAsia="Times New Roman" w:hAnsi="Helvetica" w:cs="Helvetica"/>
          <w:color w:val="5C5C5C"/>
          <w:sz w:val="20"/>
          <w:szCs w:val="20"/>
        </w:rPr>
        <w:t>) </w:t>
      </w:r>
      <w:r w:rsidRPr="00EE7B07">
        <w:rPr>
          <w:rFonts w:ascii="inherit" w:eastAsia="Times New Roman" w:hAnsi="inherit" w:cs="Helvetica"/>
          <w:b/>
          <w:bCs/>
          <w:color w:val="292929"/>
          <w:sz w:val="20"/>
        </w:rPr>
        <w:t>Ληξιαρχική πράξη γέννησης του τέκνου ή βεβαίωση γιατρού του μαιευτηρίου για την πραγματοποίηση του τοκετού</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inherit" w:eastAsia="Times New Roman" w:hAnsi="inherit" w:cs="Helvetica"/>
          <w:b/>
          <w:bCs/>
          <w:color w:val="292929"/>
          <w:sz w:val="20"/>
        </w:rPr>
        <w:t>γ</w:t>
      </w:r>
      <w:r w:rsidRPr="00EE7B07">
        <w:rPr>
          <w:rFonts w:ascii="Helvetica" w:eastAsia="Times New Roman" w:hAnsi="Helvetica" w:cs="Helvetica"/>
          <w:color w:val="5C5C5C"/>
          <w:sz w:val="20"/>
          <w:szCs w:val="20"/>
        </w:rPr>
        <w:t>) </w:t>
      </w:r>
      <w:r w:rsidRPr="00EE7B07">
        <w:rPr>
          <w:rFonts w:ascii="inherit" w:eastAsia="Times New Roman" w:hAnsi="inherit" w:cs="Helvetica"/>
          <w:b/>
          <w:bCs/>
          <w:color w:val="292929"/>
          <w:sz w:val="20"/>
        </w:rPr>
        <w:t>Υπεύθυνη δήλωση του N. 1599/1985 ότι ασκεί αποκλειστικά ελεύθερο επάγγελμα και δεν δικαιούται από άλλο ασφαλιστικό οργανισμό επίδομα μητρότητας</w:t>
      </w:r>
      <w:r w:rsidRPr="00EE7B07">
        <w:rPr>
          <w:rFonts w:ascii="Helvetica" w:eastAsia="Times New Roman" w:hAnsi="Helvetica" w:cs="Helvetica"/>
          <w:color w:val="5C5C5C"/>
          <w:sz w:val="20"/>
          <w:szCs w:val="20"/>
        </w:rPr>
        <w:t>.</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inherit" w:eastAsia="Times New Roman" w:hAnsi="inherit" w:cs="Helvetica"/>
          <w:b/>
          <w:bCs/>
          <w:color w:val="292929"/>
          <w:sz w:val="20"/>
        </w:rPr>
        <w:t>Άρθρο 2</w:t>
      </w:r>
      <w:r w:rsidRPr="00EE7B07">
        <w:rPr>
          <w:rFonts w:ascii="Helvetica" w:eastAsia="Times New Roman" w:hAnsi="Helvetica" w:cs="Helvetica"/>
          <w:color w:val="5C5C5C"/>
          <w:sz w:val="20"/>
          <w:szCs w:val="20"/>
        </w:rPr>
        <w:br/>
        <w:t>Η αρμόδια υπηρεσία του ΕΤΑΑ μετά τον έλεγχο των υποβληθέντων δικαιολογητικών και τη διαπίστωση της ασφαλιστικής ικανότητας, καταβάλλει στην ασφαλισμένη, εφάπαξ, το επίδομα μητρότητας, σύμφωνα με τα παραπάνω οριζόμενα.</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inherit" w:eastAsia="Times New Roman" w:hAnsi="inherit" w:cs="Helvetica"/>
          <w:b/>
          <w:bCs/>
          <w:color w:val="292929"/>
          <w:sz w:val="20"/>
        </w:rPr>
        <w:t>Άρθρο 3</w:t>
      </w:r>
      <w:r w:rsidRPr="00EE7B07">
        <w:rPr>
          <w:rFonts w:ascii="Helvetica" w:eastAsia="Times New Roman" w:hAnsi="Helvetica" w:cs="Helvetica"/>
          <w:color w:val="5C5C5C"/>
          <w:sz w:val="20"/>
          <w:szCs w:val="20"/>
        </w:rPr>
        <w:br/>
        <w:t>Η αίτηση για χορήγηση του εν λόγω επιδόματος υποβάλλεται από την ασφαλισμένη εντός έξι (6) μηνών από την ημερομηνία τοκετού.</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inherit" w:eastAsia="Times New Roman" w:hAnsi="inherit" w:cs="Helvetica"/>
          <w:b/>
          <w:bCs/>
          <w:color w:val="292929"/>
          <w:sz w:val="20"/>
        </w:rPr>
        <w:t>Προϊσχύουσες διατάξεις</w:t>
      </w:r>
      <w:r w:rsidRPr="00EE7B07">
        <w:rPr>
          <w:rFonts w:ascii="Helvetica" w:eastAsia="Times New Roman" w:hAnsi="Helvetica" w:cs="Helvetica"/>
          <w:color w:val="5C5C5C"/>
          <w:sz w:val="20"/>
          <w:szCs w:val="20"/>
        </w:rPr>
        <w:t> των κανονισμών των Τομέων του Κλάδου Υγείας του ΕΤΑΑ που παρέμεναν σε ισχύ ως προς τις παροχές μητρότητας και μετά την ένταξη του Κλάδου Υγείας στον Ε.Ο.Π.Υ.Υ., </w:t>
      </w:r>
      <w:r w:rsidRPr="00EE7B07">
        <w:rPr>
          <w:rFonts w:ascii="inherit" w:eastAsia="Times New Roman" w:hAnsi="inherit" w:cs="Helvetica"/>
          <w:b/>
          <w:bCs/>
          <w:color w:val="292929"/>
          <w:sz w:val="20"/>
        </w:rPr>
        <w:t>παύουν να ισχύουν</w:t>
      </w:r>
      <w:r w:rsidRPr="00EE7B07">
        <w:rPr>
          <w:rFonts w:ascii="Helvetica" w:eastAsia="Times New Roman" w:hAnsi="Helvetica" w:cs="Helvetica"/>
          <w:color w:val="5C5C5C"/>
          <w:sz w:val="20"/>
          <w:szCs w:val="20"/>
        </w:rPr>
        <w:t> από την ημερομηνία δημοσίευσης της παρούσας απόφασης.</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Helvetica" w:eastAsia="Times New Roman" w:hAnsi="Helvetica" w:cs="Helvetica"/>
          <w:color w:val="5C5C5C"/>
          <w:sz w:val="20"/>
          <w:szCs w:val="20"/>
        </w:rPr>
        <w:t xml:space="preserve">Η ισχύς της απόφασης </w:t>
      </w:r>
      <w:proofErr w:type="spellStart"/>
      <w:r w:rsidRPr="00EE7B07">
        <w:rPr>
          <w:rFonts w:ascii="Helvetica" w:eastAsia="Times New Roman" w:hAnsi="Helvetica" w:cs="Helvetica"/>
          <w:color w:val="5C5C5C"/>
          <w:sz w:val="20"/>
          <w:szCs w:val="20"/>
        </w:rPr>
        <w:t>απόφασης</w:t>
      </w:r>
      <w:proofErr w:type="spellEnd"/>
      <w:r w:rsidRPr="00EE7B07">
        <w:rPr>
          <w:rFonts w:ascii="Helvetica" w:eastAsia="Times New Roman" w:hAnsi="Helvetica" w:cs="Helvetica"/>
          <w:color w:val="5C5C5C"/>
          <w:sz w:val="20"/>
          <w:szCs w:val="20"/>
        </w:rPr>
        <w:t xml:space="preserve"> αρχίζει από την ημερομηνία δημοσίευσης στην Εφημερίδα της Κυβερνήσεως».</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Helvetica" w:eastAsia="Times New Roman" w:hAnsi="Helvetica" w:cs="Helvetica"/>
          <w:color w:val="5C5C5C"/>
          <w:sz w:val="20"/>
          <w:szCs w:val="20"/>
        </w:rPr>
        <w:t>Η απόφαση αυτή να δημοσιευθεί στην Εφημερίδα της Κυβερνήσεως.</w:t>
      </w:r>
      <w:r w:rsidRPr="00EE7B07">
        <w:rPr>
          <w:rFonts w:ascii="Helvetica" w:eastAsia="Times New Roman" w:hAnsi="Helvetica" w:cs="Helvetica"/>
          <w:color w:val="5C5C5C"/>
          <w:sz w:val="20"/>
          <w:szCs w:val="20"/>
        </w:rPr>
        <w:br/>
        <w:t>Αθήνα, 7 Οκτωβρίου 2014</w:t>
      </w:r>
      <w:r w:rsidRPr="00EE7B07">
        <w:rPr>
          <w:rFonts w:ascii="Helvetica" w:eastAsia="Times New Roman" w:hAnsi="Helvetica" w:cs="Helvetica"/>
          <w:color w:val="5C5C5C"/>
          <w:sz w:val="20"/>
          <w:szCs w:val="20"/>
        </w:rPr>
        <w:br/>
        <w:t>ΟΙ ΥΠΟΥΡΓΟΙ</w:t>
      </w:r>
      <w:r w:rsidRPr="00EE7B07">
        <w:rPr>
          <w:rFonts w:ascii="Helvetica" w:eastAsia="Times New Roman" w:hAnsi="Helvetica" w:cs="Helvetica"/>
          <w:color w:val="5C5C5C"/>
          <w:sz w:val="20"/>
          <w:szCs w:val="20"/>
        </w:rPr>
        <w:br/>
        <w:t>ΑΝΑΠΛΗΡΩΤΗΣ ΥΦΥΠ. ΕΡΓΑΣΙΑΣ, ΚΟΙΝΩΝΙΚΗΣ</w:t>
      </w:r>
      <w:r w:rsidRPr="00EE7B07">
        <w:rPr>
          <w:rFonts w:ascii="Helvetica" w:eastAsia="Times New Roman" w:hAnsi="Helvetica" w:cs="Helvetica"/>
          <w:color w:val="5C5C5C"/>
          <w:sz w:val="20"/>
          <w:szCs w:val="20"/>
        </w:rPr>
        <w:br/>
        <w:t>ΥΠΟΥΡΓΟΣ ΟΙΚΟΝΟΜΙΚΩΝ ΑΣΦΑΛΙΣΗΣ ΚΑΙ ΠΡΟΝΟΙΑΣ</w:t>
      </w:r>
      <w:r w:rsidRPr="00EE7B07">
        <w:rPr>
          <w:rFonts w:ascii="Helvetica" w:eastAsia="Times New Roman" w:hAnsi="Helvetica" w:cs="Helvetica"/>
          <w:color w:val="5C5C5C"/>
          <w:sz w:val="20"/>
          <w:szCs w:val="20"/>
        </w:rPr>
        <w:br/>
        <w:t>ΧΡΗΣΤΟΣ ΣΤΑΪΚΟΥΡΑΣ ΑΝΤΩΝΙΟΣ ΜΠΕΖΑΣ</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Helvetica" w:eastAsia="Times New Roman" w:hAnsi="Helvetica" w:cs="Helvetica"/>
          <w:color w:val="5C5C5C"/>
          <w:sz w:val="20"/>
          <w:szCs w:val="20"/>
        </w:rPr>
        <w:t>—–</w:t>
      </w:r>
    </w:p>
    <w:p w:rsidR="00EE7B07" w:rsidRPr="00EE7B07" w:rsidRDefault="00EE7B07" w:rsidP="00EE7B07">
      <w:pPr>
        <w:shd w:val="clear" w:color="auto" w:fill="FFFFFF"/>
        <w:spacing w:after="0" w:line="322" w:lineRule="atLeast"/>
        <w:textAlignment w:val="baseline"/>
        <w:rPr>
          <w:rFonts w:ascii="Helvetica" w:eastAsia="Times New Roman" w:hAnsi="Helvetica" w:cs="Helvetica"/>
          <w:color w:val="5C5C5C"/>
          <w:sz w:val="20"/>
          <w:szCs w:val="20"/>
        </w:rPr>
      </w:pPr>
      <w:r w:rsidRPr="00EE7B07">
        <w:rPr>
          <w:rFonts w:ascii="inherit" w:eastAsia="Times New Roman" w:hAnsi="inherit" w:cs="Helvetica"/>
          <w:b/>
          <w:bCs/>
          <w:color w:val="292929"/>
          <w:sz w:val="20"/>
        </w:rPr>
        <w:t>Διατάξεις</w:t>
      </w:r>
      <w:r w:rsidRPr="00EE7B07">
        <w:rPr>
          <w:rFonts w:ascii="Helvetica" w:eastAsia="Times New Roman" w:hAnsi="Helvetica" w:cs="Helvetica"/>
          <w:color w:val="5C5C5C"/>
          <w:sz w:val="20"/>
          <w:szCs w:val="20"/>
        </w:rPr>
        <w:t>: (Έχοντας υπόψη)</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 xml:space="preserve">1. Τις διατάξεις του άρθρου 6 του Ν. 4097/2012 (Α΄ 235) «Εφαρμογή της αρχής της ίσης μεταχείρισης ανδρών και γυναικών κατά την άσκηση αυτοτελούς επαγγελματικής δραστηριότητας ? Εναρμόνιση της </w:t>
      </w:r>
      <w:r w:rsidRPr="00EE7B07">
        <w:rPr>
          <w:rFonts w:ascii="inherit" w:eastAsia="Times New Roman" w:hAnsi="inherit" w:cs="Helvetica"/>
          <w:i/>
          <w:iCs/>
          <w:color w:val="5C5C5C"/>
          <w:sz w:val="20"/>
        </w:rPr>
        <w:lastRenderedPageBreak/>
        <w:t>νομοθεσίας με την Οδηγία 2010/41/ΕΕ του Ευρωπαϊκού Κοινοβουλίου».</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2. Τις διατάξεις της παρ. 1Γ του άρθρου 47 του Ν. 4075/2012 (Α΄ 89) και της υπουργικής απόφασης αριθ. Φ.10060/13503/569/2013 (Β΄ 1306) «Καθορισμός εισφορών Λογαριασμού Παροχών σε Χρήμα του Ενιαίου Ταμείου Αυτοτελώς Απασχολουμένων (ΕΤΑΑ)».</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3. Τις διατάξεις του άρθρου 90 του Π. Δ/</w:t>
      </w:r>
      <w:proofErr w:type="spellStart"/>
      <w:r w:rsidRPr="00EE7B07">
        <w:rPr>
          <w:rFonts w:ascii="inherit" w:eastAsia="Times New Roman" w:hAnsi="inherit" w:cs="Helvetica"/>
          <w:i/>
          <w:iCs/>
          <w:color w:val="5C5C5C"/>
          <w:sz w:val="20"/>
        </w:rPr>
        <w:t>τος</w:t>
      </w:r>
      <w:proofErr w:type="spellEnd"/>
      <w:r w:rsidRPr="00EE7B07">
        <w:rPr>
          <w:rFonts w:ascii="inherit" w:eastAsia="Times New Roman" w:hAnsi="inherit" w:cs="Helvetica"/>
          <w:i/>
          <w:iCs/>
          <w:color w:val="5C5C5C"/>
          <w:sz w:val="20"/>
        </w:rPr>
        <w:t xml:space="preserve"> 63/2005 (Α΄ 98) «Κώδικα Νομοθεσίας για την Κυβέρνηση και τα Κυβερνητικά Όργανα».</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4. Τις διατάξεις του Π. Δ/</w:t>
      </w:r>
      <w:proofErr w:type="spellStart"/>
      <w:r w:rsidRPr="00EE7B07">
        <w:rPr>
          <w:rFonts w:ascii="inherit" w:eastAsia="Times New Roman" w:hAnsi="inherit" w:cs="Helvetica"/>
          <w:i/>
          <w:iCs/>
          <w:color w:val="5C5C5C"/>
          <w:sz w:val="20"/>
        </w:rPr>
        <w:t>τος</w:t>
      </w:r>
      <w:proofErr w:type="spellEnd"/>
      <w:r w:rsidRPr="00EE7B07">
        <w:rPr>
          <w:rFonts w:ascii="inherit" w:eastAsia="Times New Roman" w:hAnsi="inherit" w:cs="Helvetica"/>
          <w:i/>
          <w:iCs/>
          <w:color w:val="5C5C5C"/>
          <w:sz w:val="20"/>
        </w:rPr>
        <w:t xml:space="preserve"> 86/2012 (Α΄ 141) «Διορισμός Υπουργών, Αναπληρωτών Υπουργών και Υφυπουργών»,</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 xml:space="preserve">5. Τις διατάξεις της κοινής απόφασης του Πρωθυπουργού και του Υπουργού Εργασίας, Κοινωνικής Ασφάλισης και Πρόνοιας αριθ. οικ. 20894/61/20-6-2014 (Β΄ 1634) και οικ.27695/77/8-8-2014(Β΄ 2244) «Καθορισμός αρμοδιοτήτων των Υφυπουργών Εργασίας, Κοινωνικής Ασφάλισης και Πρόνοιας Βασιλείου </w:t>
      </w:r>
      <w:proofErr w:type="spellStart"/>
      <w:r w:rsidRPr="00EE7B07">
        <w:rPr>
          <w:rFonts w:ascii="inherit" w:eastAsia="Times New Roman" w:hAnsi="inherit" w:cs="Helvetica"/>
          <w:i/>
          <w:iCs/>
          <w:color w:val="5C5C5C"/>
          <w:sz w:val="20"/>
        </w:rPr>
        <w:t>Κεγκέρογλου</w:t>
      </w:r>
      <w:proofErr w:type="spellEnd"/>
      <w:r w:rsidRPr="00EE7B07">
        <w:rPr>
          <w:rFonts w:ascii="inherit" w:eastAsia="Times New Roman" w:hAnsi="inherit" w:cs="Helvetica"/>
          <w:i/>
          <w:iCs/>
          <w:color w:val="5C5C5C"/>
          <w:sz w:val="20"/>
        </w:rPr>
        <w:t xml:space="preserve">, Αντωνίου </w:t>
      </w:r>
      <w:proofErr w:type="spellStart"/>
      <w:r w:rsidRPr="00EE7B07">
        <w:rPr>
          <w:rFonts w:ascii="inherit" w:eastAsia="Times New Roman" w:hAnsi="inherit" w:cs="Helvetica"/>
          <w:i/>
          <w:iCs/>
          <w:color w:val="5C5C5C"/>
          <w:sz w:val="20"/>
        </w:rPr>
        <w:t>Μπέζα</w:t>
      </w:r>
      <w:proofErr w:type="spellEnd"/>
      <w:r w:rsidRPr="00EE7B07">
        <w:rPr>
          <w:rFonts w:ascii="inherit" w:eastAsia="Times New Roman" w:hAnsi="inherit" w:cs="Helvetica"/>
          <w:i/>
          <w:iCs/>
          <w:color w:val="5C5C5C"/>
          <w:sz w:val="20"/>
        </w:rPr>
        <w:t xml:space="preserve"> και Ιωάννη </w:t>
      </w:r>
      <w:proofErr w:type="spellStart"/>
      <w:r w:rsidRPr="00EE7B07">
        <w:rPr>
          <w:rFonts w:ascii="inherit" w:eastAsia="Times New Roman" w:hAnsi="inherit" w:cs="Helvetica"/>
          <w:i/>
          <w:iCs/>
          <w:color w:val="5C5C5C"/>
          <w:sz w:val="20"/>
        </w:rPr>
        <w:t>Πλακιωτάκη</w:t>
      </w:r>
      <w:proofErr w:type="spellEnd"/>
      <w:r w:rsidRPr="00EE7B07">
        <w:rPr>
          <w:rFonts w:ascii="inherit" w:eastAsia="Times New Roman" w:hAnsi="inherit" w:cs="Helvetica"/>
          <w:i/>
          <w:iCs/>
          <w:color w:val="5C5C5C"/>
          <w:sz w:val="20"/>
        </w:rPr>
        <w:t>».</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 xml:space="preserve">6. Τις διατάξεις της Υ.48/09-07-2012 (Β΄ 2105) απόφασης Πρωθυπουργού «Καθορισμός αρμοδιοτήτων του Αναπληρωτή Υπουργού Οικονομικών Χρήστου </w:t>
      </w:r>
      <w:proofErr w:type="spellStart"/>
      <w:r w:rsidRPr="00EE7B07">
        <w:rPr>
          <w:rFonts w:ascii="inherit" w:eastAsia="Times New Roman" w:hAnsi="inherit" w:cs="Helvetica"/>
          <w:i/>
          <w:iCs/>
          <w:color w:val="5C5C5C"/>
          <w:sz w:val="20"/>
        </w:rPr>
        <w:t>Σταϊκούρα</w:t>
      </w:r>
      <w:proofErr w:type="spellEnd"/>
      <w:r w:rsidRPr="00EE7B07">
        <w:rPr>
          <w:rFonts w:ascii="inherit" w:eastAsia="Times New Roman" w:hAnsi="inherit" w:cs="Helvetica"/>
          <w:i/>
          <w:iCs/>
          <w:color w:val="5C5C5C"/>
          <w:sz w:val="20"/>
        </w:rPr>
        <w:t>».</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7. Την αριθ. 2/290/29-05-2014 απόφαση του Δ.Σ. του Ε.Τ.Α.Α.</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 xml:space="preserve">8. Την αριθ. 20782/1427/21-07-2014 οικονομική έκθεση του Τμήματος Αναλογιστικών Μελετών της Διεύθυνσης Οικονομικής Εποπτείας και Επιθεώρησης Νομικών Προσώπων του Υπουργείου Εργασίας </w:t>
      </w:r>
      <w:proofErr w:type="spellStart"/>
      <w:r w:rsidRPr="00EE7B07">
        <w:rPr>
          <w:rFonts w:ascii="inherit" w:eastAsia="Times New Roman" w:hAnsi="inherit" w:cs="Helvetica"/>
          <w:i/>
          <w:iCs/>
          <w:color w:val="5C5C5C"/>
          <w:sz w:val="20"/>
        </w:rPr>
        <w:t>Κοιν</w:t>
      </w:r>
      <w:proofErr w:type="spellEnd"/>
      <w:r w:rsidRPr="00EE7B07">
        <w:rPr>
          <w:rFonts w:ascii="inherit" w:eastAsia="Times New Roman" w:hAnsi="inherit" w:cs="Helvetica"/>
          <w:i/>
          <w:iCs/>
          <w:color w:val="5C5C5C"/>
          <w:sz w:val="20"/>
        </w:rPr>
        <w:t>. Ασφάλισης και Πρόνοιας.</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9. Την αριθ. </w:t>
      </w:r>
      <w:hyperlink r:id="rId4" w:tgtFrame="_blank" w:history="1">
        <w:r w:rsidRPr="00EE7B07">
          <w:rPr>
            <w:rFonts w:ascii="inherit" w:eastAsia="Times New Roman" w:hAnsi="inherit" w:cs="Helvetica"/>
            <w:i/>
            <w:iCs/>
            <w:color w:val="292929"/>
            <w:sz w:val="20"/>
            <w:u w:val="single"/>
          </w:rPr>
          <w:t>202493/18-9-2014</w:t>
        </w:r>
      </w:hyperlink>
      <w:r w:rsidRPr="00EE7B07">
        <w:rPr>
          <w:rFonts w:ascii="inherit" w:eastAsia="Times New Roman" w:hAnsi="inherit" w:cs="Helvetica"/>
          <w:i/>
          <w:iCs/>
          <w:color w:val="5C5C5C"/>
          <w:sz w:val="20"/>
        </w:rPr>
        <w:t> απόφαση ανάληψης υποχρέωσης (ΑΔΑ: 7ΥΖΙΟΡΕ1-4ΟΔ).</w:t>
      </w:r>
      <w:r w:rsidRPr="00EE7B07">
        <w:rPr>
          <w:rFonts w:ascii="Helvetica" w:eastAsia="Times New Roman" w:hAnsi="Helvetica" w:cs="Helvetica"/>
          <w:color w:val="5C5C5C"/>
          <w:sz w:val="20"/>
          <w:szCs w:val="20"/>
        </w:rPr>
        <w:br/>
      </w:r>
      <w:r w:rsidRPr="00EE7B07">
        <w:rPr>
          <w:rFonts w:ascii="inherit" w:eastAsia="Times New Roman" w:hAnsi="inherit" w:cs="Helvetica"/>
          <w:i/>
          <w:iCs/>
          <w:color w:val="5C5C5C"/>
          <w:sz w:val="20"/>
        </w:rPr>
        <w:t>10. Το γεγονός ότι από τις διατάξεις της απόφασης αυτής προκαλείται ετήσια επιβάρυνση ύψους 1.548.000 € περίπου, η οποία θα καλύπτεται από τις πιστώσεις του προϋπολογισμού του Λογαριασμού Παροχών σε Χρήμα του Ε.Τ.Α.Α., KAE 0685, εντός του εγκεκριμένου από το εκάστοτε ΜΠΔΣ ορίου δαπανών για τα ασφαλιστικά ταμεία. Για το τρέχον έτος η ανωτέρω δαπάνη περιορίζεται στο ποσό των 387.000 ΕΥΡΩ περίπου και θα καλυφθεί από τον Π/Υ του Λογαριασμού Παροχών σε Χρήμα του Ε.Τ.Α.Α. (ΚΑΕ 0685),</w:t>
      </w:r>
    </w:p>
    <w:p w:rsidR="00DF6B69" w:rsidRDefault="00DF6B69"/>
    <w:sectPr w:rsidR="00DF6B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7B07"/>
    <w:rsid w:val="00DF6B69"/>
    <w:rsid w:val="00EE7B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7B07"/>
    <w:rPr>
      <w:b/>
      <w:bCs/>
    </w:rPr>
  </w:style>
  <w:style w:type="character" w:styleId="a4">
    <w:name w:val="Emphasis"/>
    <w:basedOn w:val="a0"/>
    <w:uiPriority w:val="20"/>
    <w:qFormat/>
    <w:rsid w:val="00EE7B07"/>
    <w:rPr>
      <w:i/>
      <w:iCs/>
    </w:rPr>
  </w:style>
  <w:style w:type="character" w:styleId="-">
    <w:name w:val="Hyperlink"/>
    <w:basedOn w:val="a0"/>
    <w:uiPriority w:val="99"/>
    <w:semiHidden/>
    <w:unhideWhenUsed/>
    <w:rsid w:val="00EE7B07"/>
    <w:rPr>
      <w:color w:val="0000FF"/>
      <w:u w:val="single"/>
    </w:rPr>
  </w:style>
</w:styles>
</file>

<file path=word/webSettings.xml><?xml version="1.0" encoding="utf-8"?>
<w:webSettings xmlns:r="http://schemas.openxmlformats.org/officeDocument/2006/relationships" xmlns:w="http://schemas.openxmlformats.org/wordprocessingml/2006/main">
  <w:divs>
    <w:div w:id="544222862">
      <w:bodyDiv w:val="1"/>
      <w:marLeft w:val="0"/>
      <w:marRight w:val="0"/>
      <w:marTop w:val="0"/>
      <w:marBottom w:val="0"/>
      <w:divBdr>
        <w:top w:val="none" w:sz="0" w:space="0" w:color="auto"/>
        <w:left w:val="none" w:sz="0" w:space="0" w:color="auto"/>
        <w:bottom w:val="none" w:sz="0" w:space="0" w:color="auto"/>
        <w:right w:val="none" w:sz="0" w:space="0" w:color="auto"/>
      </w:divBdr>
      <w:divsChild>
        <w:div w:id="787046733">
          <w:marLeft w:val="0"/>
          <w:marRight w:val="0"/>
          <w:marTop w:val="0"/>
          <w:marBottom w:val="0"/>
          <w:divBdr>
            <w:top w:val="none" w:sz="0" w:space="0" w:color="auto"/>
            <w:left w:val="none" w:sz="0" w:space="0" w:color="auto"/>
            <w:bottom w:val="none" w:sz="0" w:space="0" w:color="auto"/>
            <w:right w:val="none" w:sz="0" w:space="0" w:color="auto"/>
          </w:divBdr>
        </w:div>
        <w:div w:id="2006664402">
          <w:marLeft w:val="0"/>
          <w:marRight w:val="0"/>
          <w:marTop w:val="0"/>
          <w:marBottom w:val="0"/>
          <w:divBdr>
            <w:top w:val="none" w:sz="0" w:space="0" w:color="auto"/>
            <w:left w:val="none" w:sz="0" w:space="0" w:color="auto"/>
            <w:bottom w:val="none" w:sz="0" w:space="0" w:color="auto"/>
            <w:right w:val="none" w:sz="0" w:space="0" w:color="auto"/>
          </w:divBdr>
        </w:div>
        <w:div w:id="1400060493">
          <w:marLeft w:val="0"/>
          <w:marRight w:val="0"/>
          <w:marTop w:val="0"/>
          <w:marBottom w:val="0"/>
          <w:divBdr>
            <w:top w:val="none" w:sz="0" w:space="0" w:color="auto"/>
            <w:left w:val="none" w:sz="0" w:space="0" w:color="auto"/>
            <w:bottom w:val="none" w:sz="0" w:space="0" w:color="auto"/>
            <w:right w:val="none" w:sz="0" w:space="0" w:color="auto"/>
          </w:divBdr>
        </w:div>
        <w:div w:id="798690392">
          <w:marLeft w:val="0"/>
          <w:marRight w:val="0"/>
          <w:marTop w:val="0"/>
          <w:marBottom w:val="0"/>
          <w:divBdr>
            <w:top w:val="none" w:sz="0" w:space="0" w:color="auto"/>
            <w:left w:val="none" w:sz="0" w:space="0" w:color="auto"/>
            <w:bottom w:val="none" w:sz="0" w:space="0" w:color="auto"/>
            <w:right w:val="none" w:sz="0" w:space="0" w:color="auto"/>
          </w:divBdr>
        </w:div>
        <w:div w:id="596060893">
          <w:marLeft w:val="0"/>
          <w:marRight w:val="0"/>
          <w:marTop w:val="0"/>
          <w:marBottom w:val="0"/>
          <w:divBdr>
            <w:top w:val="none" w:sz="0" w:space="0" w:color="auto"/>
            <w:left w:val="none" w:sz="0" w:space="0" w:color="auto"/>
            <w:bottom w:val="none" w:sz="0" w:space="0" w:color="auto"/>
            <w:right w:val="none" w:sz="0" w:space="0" w:color="auto"/>
          </w:divBdr>
        </w:div>
        <w:div w:id="123356357">
          <w:marLeft w:val="0"/>
          <w:marRight w:val="0"/>
          <w:marTop w:val="0"/>
          <w:marBottom w:val="0"/>
          <w:divBdr>
            <w:top w:val="none" w:sz="0" w:space="0" w:color="auto"/>
            <w:left w:val="none" w:sz="0" w:space="0" w:color="auto"/>
            <w:bottom w:val="none" w:sz="0" w:space="0" w:color="auto"/>
            <w:right w:val="none" w:sz="0" w:space="0" w:color="auto"/>
          </w:divBdr>
        </w:div>
        <w:div w:id="1207568512">
          <w:marLeft w:val="0"/>
          <w:marRight w:val="0"/>
          <w:marTop w:val="0"/>
          <w:marBottom w:val="0"/>
          <w:divBdr>
            <w:top w:val="none" w:sz="0" w:space="0" w:color="auto"/>
            <w:left w:val="none" w:sz="0" w:space="0" w:color="auto"/>
            <w:bottom w:val="none" w:sz="0" w:space="0" w:color="auto"/>
            <w:right w:val="none" w:sz="0" w:space="0" w:color="auto"/>
          </w:divBdr>
        </w:div>
        <w:div w:id="490758662">
          <w:marLeft w:val="0"/>
          <w:marRight w:val="0"/>
          <w:marTop w:val="0"/>
          <w:marBottom w:val="0"/>
          <w:divBdr>
            <w:top w:val="none" w:sz="0" w:space="0" w:color="auto"/>
            <w:left w:val="none" w:sz="0" w:space="0" w:color="auto"/>
            <w:bottom w:val="none" w:sz="0" w:space="0" w:color="auto"/>
            <w:right w:val="none" w:sz="0" w:space="0" w:color="auto"/>
          </w:divBdr>
        </w:div>
        <w:div w:id="533034622">
          <w:marLeft w:val="0"/>
          <w:marRight w:val="0"/>
          <w:marTop w:val="0"/>
          <w:marBottom w:val="0"/>
          <w:divBdr>
            <w:top w:val="none" w:sz="0" w:space="0" w:color="auto"/>
            <w:left w:val="none" w:sz="0" w:space="0" w:color="auto"/>
            <w:bottom w:val="none" w:sz="0" w:space="0" w:color="auto"/>
            <w:right w:val="none" w:sz="0" w:space="0" w:color="auto"/>
          </w:divBdr>
        </w:div>
        <w:div w:id="1624843420">
          <w:marLeft w:val="0"/>
          <w:marRight w:val="0"/>
          <w:marTop w:val="0"/>
          <w:marBottom w:val="0"/>
          <w:divBdr>
            <w:top w:val="none" w:sz="0" w:space="0" w:color="auto"/>
            <w:left w:val="none" w:sz="0" w:space="0" w:color="auto"/>
            <w:bottom w:val="none" w:sz="0" w:space="0" w:color="auto"/>
            <w:right w:val="none" w:sz="0" w:space="0" w:color="auto"/>
          </w:divBdr>
        </w:div>
        <w:div w:id="409233634">
          <w:marLeft w:val="0"/>
          <w:marRight w:val="0"/>
          <w:marTop w:val="0"/>
          <w:marBottom w:val="0"/>
          <w:divBdr>
            <w:top w:val="none" w:sz="0" w:space="0" w:color="auto"/>
            <w:left w:val="none" w:sz="0" w:space="0" w:color="auto"/>
            <w:bottom w:val="none" w:sz="0" w:space="0" w:color="auto"/>
            <w:right w:val="none" w:sz="0" w:space="0" w:color="auto"/>
          </w:divBdr>
        </w:div>
        <w:div w:id="1322657830">
          <w:marLeft w:val="0"/>
          <w:marRight w:val="0"/>
          <w:marTop w:val="0"/>
          <w:marBottom w:val="0"/>
          <w:divBdr>
            <w:top w:val="none" w:sz="0" w:space="0" w:color="auto"/>
            <w:left w:val="none" w:sz="0" w:space="0" w:color="auto"/>
            <w:bottom w:val="none" w:sz="0" w:space="0" w:color="auto"/>
            <w:right w:val="none" w:sz="0" w:space="0" w:color="auto"/>
          </w:divBdr>
        </w:div>
        <w:div w:id="1034692064">
          <w:marLeft w:val="0"/>
          <w:marRight w:val="0"/>
          <w:marTop w:val="0"/>
          <w:marBottom w:val="0"/>
          <w:divBdr>
            <w:top w:val="none" w:sz="0" w:space="0" w:color="auto"/>
            <w:left w:val="none" w:sz="0" w:space="0" w:color="auto"/>
            <w:bottom w:val="none" w:sz="0" w:space="0" w:color="auto"/>
            <w:right w:val="none" w:sz="0" w:space="0" w:color="auto"/>
          </w:divBdr>
        </w:div>
        <w:div w:id="197667900">
          <w:marLeft w:val="0"/>
          <w:marRight w:val="0"/>
          <w:marTop w:val="0"/>
          <w:marBottom w:val="0"/>
          <w:divBdr>
            <w:top w:val="none" w:sz="0" w:space="0" w:color="auto"/>
            <w:left w:val="none" w:sz="0" w:space="0" w:color="auto"/>
            <w:bottom w:val="none" w:sz="0" w:space="0" w:color="auto"/>
            <w:right w:val="none" w:sz="0" w:space="0" w:color="auto"/>
          </w:divBdr>
        </w:div>
        <w:div w:id="29198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02493/18-9-201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3593</Characters>
  <Application>Microsoft Office Word</Application>
  <DocSecurity>0</DocSecurity>
  <Lines>29</Lines>
  <Paragraphs>8</Paragraphs>
  <ScaleCrop>false</ScaleCrop>
  <Company>Lenovo</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2015-06-27T07:49:00Z</dcterms:created>
  <dcterms:modified xsi:type="dcterms:W3CDTF">2015-06-27T07:49:00Z</dcterms:modified>
</cp:coreProperties>
</file>